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6BA05F7B"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맑은 고딕" w:hAnsi="Arial" w:cs="Arial"/>
          <w:b/>
          <w:bCs/>
          <w:sz w:val="24"/>
          <w:szCs w:val="24"/>
          <w:lang w:val="en-US" w:eastAsia="ko-KR"/>
        </w:rPr>
        <w:t>3GPP TSG RAN WG1 #117</w:t>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E64CC4">
        <w:rPr>
          <w:rFonts w:ascii="Arial" w:eastAsia="맑은 고딕" w:hAnsi="Arial" w:cs="Arial"/>
          <w:b/>
          <w:bCs/>
          <w:sz w:val="24"/>
          <w:szCs w:val="24"/>
          <w:lang w:val="en-US" w:eastAsia="ko-KR"/>
        </w:rPr>
        <w:t>R1-240</w:t>
      </w:r>
      <w:r w:rsidR="00E64CC4">
        <w:rPr>
          <w:rFonts w:ascii="Arial" w:eastAsia="맑은 고딕" w:hAnsi="Arial" w:cs="Arial"/>
          <w:b/>
          <w:bCs/>
          <w:sz w:val="24"/>
          <w:szCs w:val="24"/>
          <w:lang w:val="en-US" w:eastAsia="ko-KR"/>
        </w:rPr>
        <w:t>4099</w:t>
      </w:r>
      <w:bookmarkStart w:id="10" w:name="_GoBack"/>
      <w:bookmarkEnd w:id="10"/>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C7A50D"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F608E">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8BF8581"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DF608E" w:rsidRPr="00DF608E">
              <w:rPr>
                <w:rFonts w:hint="eastAsia"/>
              </w:rPr>
              <w:t xml:space="preserve">TDM </w:t>
            </w:r>
            <w:r w:rsidR="00DF608E">
              <w:t>or non-TDM 8-port SRS</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490F95B" w:rsidR="00D3573A" w:rsidRPr="001B5FAB" w:rsidRDefault="007D34B0" w:rsidP="006422EE">
            <w:pPr>
              <w:pStyle w:val="CRCoverPage"/>
              <w:spacing w:after="0"/>
            </w:pPr>
            <w:r w:rsidRPr="00606A6E">
              <w:t xml:space="preserve">In TS 38.331, the RRC parameter </w:t>
            </w:r>
            <w:r w:rsidRPr="00606A6E">
              <w:rPr>
                <w:i/>
                <w:iCs/>
              </w:rPr>
              <w:t>nrofSRS-Ports-n8</w:t>
            </w:r>
            <w:r w:rsidRPr="00606A6E">
              <w:t xml:space="preserve"> is used to identify the port number of an 8-port SRS resource. However, in TS 38.21</w:t>
            </w:r>
            <w:r>
              <w:t>4</w:t>
            </w:r>
            <w:r w:rsidRPr="00606A6E">
              <w:t xml:space="preserve">, this parameter is not used </w:t>
            </w:r>
            <w:r>
              <w:t>in somewhere,</w:t>
            </w:r>
            <w:r w:rsidRPr="00606A6E">
              <w:t xml:space="preserve"> which is not aligned with TS 38.331.</w:t>
            </w:r>
            <w:r>
              <w:t xml:space="preserve"> However, if we simply add </w:t>
            </w:r>
            <w:r w:rsidRPr="00606A6E">
              <w:rPr>
                <w:i/>
                <w:iCs/>
              </w:rPr>
              <w:t>nrofSRS-Ports-n8</w:t>
            </w:r>
            <w:r>
              <w:rPr>
                <w:i/>
                <w:iCs/>
              </w:rPr>
              <w:t xml:space="preserve"> </w:t>
            </w:r>
            <w:r>
              <w:rPr>
                <w:iCs/>
              </w:rPr>
              <w:t xml:space="preserve">in there, since </w:t>
            </w:r>
            <w:r w:rsidRPr="00606A6E">
              <w:rPr>
                <w:i/>
                <w:iCs/>
              </w:rPr>
              <w:t>nrofSRS-Ports-n8</w:t>
            </w:r>
            <w:r>
              <w:rPr>
                <w:iCs/>
              </w:rPr>
              <w:t xml:space="preserve"> is jointly encoded with 1) Support 8-port SRS, and 2) Support either TDM or non-TDM, it could imply that all SRS resources shall be configured with same transmission scheme which is one of TDM or non-TDM.</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2BC0F7A" w:rsidR="00BD6DA9" w:rsidRPr="009000E1" w:rsidRDefault="007D34B0" w:rsidP="007007CF">
            <w:pPr>
              <w:pStyle w:val="CRCoverPage"/>
              <w:spacing w:after="0"/>
              <w:rPr>
                <w:rFonts w:ascii="Times New Roman" w:eastAsiaTheme="minorEastAsia" w:hAnsi="Times New Roman"/>
                <w:noProof/>
                <w:lang w:eastAsia="ko-KR"/>
              </w:rPr>
            </w:pPr>
            <w:r>
              <w:t>Revise the wording as “the number of SRS port(s) … shall be same value”, instead of “high layer parameters … shall be configured with the same value” in order not to introduce a new restriction not defined so far, but to consider 8-port SRS resource</w:t>
            </w:r>
            <w:r w:rsidRPr="00606A6E">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F2E3631" w:rsidR="00DA15BD" w:rsidRPr="007007CF" w:rsidRDefault="00A01568" w:rsidP="00A01568">
            <w:pPr>
              <w:pStyle w:val="CRCoverPage"/>
              <w:spacing w:after="0"/>
              <w:rPr>
                <w:rFonts w:ascii="Times New Roman" w:hAnsi="Times New Roman"/>
                <w:noProof/>
              </w:rPr>
            </w:pPr>
            <w:r>
              <w:rPr>
                <w:rFonts w:eastAsia="SimSun"/>
              </w:rPr>
              <w:t>When the restriction that, all SRS resources in a SRS resource set with usage of ‘codebook’ shall have same number of SRS ports, is considered,</w:t>
            </w:r>
            <w:r w:rsidRPr="00606A6E">
              <w:t xml:space="preserve"> </w:t>
            </w:r>
            <w:r>
              <w:t>t</w:t>
            </w:r>
            <w:r w:rsidR="007D34B0" w:rsidRPr="00606A6E">
              <w:t xml:space="preserve">he </w:t>
            </w:r>
            <w:r>
              <w:t xml:space="preserve">case of </w:t>
            </w:r>
            <w:r w:rsidR="007D34B0" w:rsidRPr="00606A6E">
              <w:rPr>
                <w:rFonts w:eastAsiaTheme="minorEastAsia"/>
              </w:rPr>
              <w:t>8-port SRS resource</w:t>
            </w:r>
            <w:r w:rsidR="007D34B0" w:rsidRPr="00606A6E">
              <w:rPr>
                <w:rFonts w:eastAsia="SimSun"/>
              </w:rPr>
              <w:t xml:space="preserve"> is missing in TS38.21</w:t>
            </w:r>
            <w:r w:rsidR="007D34B0">
              <w:rPr>
                <w:rFonts w:eastAsia="SimSun"/>
              </w:rPr>
              <w:t>4</w:t>
            </w:r>
            <w:r w:rsidR="007D34B0" w:rsidRPr="00606A6E">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086505C" w:rsidR="00167A0B" w:rsidRDefault="007D34B0" w:rsidP="007D34B0">
            <w:pPr>
              <w:pStyle w:val="CRCoverPage"/>
              <w:spacing w:after="0"/>
              <w:ind w:left="100"/>
              <w:rPr>
                <w:noProof/>
              </w:rPr>
            </w:pPr>
            <w:r>
              <w:rPr>
                <w:noProof/>
              </w:rPr>
              <w:t>6</w:t>
            </w:r>
            <w:r w:rsidR="007007CF">
              <w:rPr>
                <w:noProof/>
              </w:rPr>
              <w:t>.</w:t>
            </w:r>
            <w:r>
              <w:rPr>
                <w:noProof/>
              </w:rPr>
              <w:t>1</w:t>
            </w:r>
            <w:r w:rsidR="007007CF">
              <w:rPr>
                <w:noProof/>
              </w:rPr>
              <w:t>.1.</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p w14:paraId="630ED401" w14:textId="77777777" w:rsidR="007D34B0" w:rsidRPr="0048482F" w:rsidRDefault="007D34B0" w:rsidP="007D34B0">
      <w:pPr>
        <w:pStyle w:val="4"/>
        <w:spacing w:after="240"/>
        <w:jc w:val="both"/>
        <w:rPr>
          <w:color w:val="000000"/>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14223805"/>
      <w:bookmarkEnd w:id="0"/>
      <w:bookmarkEnd w:id="1"/>
      <w:bookmarkEnd w:id="2"/>
      <w:bookmarkEnd w:id="3"/>
      <w:bookmarkEnd w:id="4"/>
      <w:bookmarkEnd w:id="5"/>
      <w:bookmarkEnd w:id="6"/>
      <w:bookmarkEnd w:id="7"/>
      <w:bookmarkEnd w:id="8"/>
      <w:bookmarkEnd w:id="9"/>
      <w:r w:rsidRPr="0048482F">
        <w:rPr>
          <w:color w:val="000000"/>
        </w:rPr>
        <w:t>6.1.1.1</w:t>
      </w:r>
      <w:r w:rsidRPr="0048482F">
        <w:rPr>
          <w:color w:val="000000"/>
        </w:rPr>
        <w:tab/>
        <w:t>Codebook based UL transmission</w:t>
      </w:r>
    </w:p>
    <w:p w14:paraId="4AE81EE0" w14:textId="77777777" w:rsidR="007D34B0" w:rsidRPr="00E26AA3" w:rsidRDefault="007D34B0" w:rsidP="007D34B0">
      <w:pPr>
        <w:widowControl w:val="0"/>
        <w:spacing w:before="120" w:after="24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p w14:paraId="45F56286" w14:textId="77777777" w:rsidR="007D34B0" w:rsidRDefault="007D34B0" w:rsidP="007D34B0">
      <w:pPr>
        <w:spacing w:before="120" w:after="240"/>
        <w:jc w:val="both"/>
        <w:rPr>
          <w:color w:val="000000"/>
          <w:lang w:val="en-AU" w:eastAsia="x-none"/>
        </w:rPr>
      </w:pPr>
      <w:r w:rsidRPr="00AB1BA7">
        <w:rPr>
          <w:color w:val="000000"/>
        </w:rPr>
        <w:t xml:space="preserve">Except when higher layer parameter </w:t>
      </w:r>
      <w:r w:rsidRPr="00AB1BA7">
        <w:rPr>
          <w:i/>
          <w:color w:val="000000"/>
        </w:rPr>
        <w:t>ul-FullPowerTransmission</w:t>
      </w:r>
      <w:r w:rsidRPr="00AB1BA7">
        <w:rPr>
          <w:color w:val="000000"/>
        </w:rPr>
        <w:t xml:space="preserve"> is set to '</w:t>
      </w:r>
      <w:r w:rsidRPr="00AB1BA7">
        <w:rPr>
          <w:iCs/>
          <w:color w:val="000000"/>
        </w:rPr>
        <w:t>fullpowerMode2</w:t>
      </w:r>
      <w:r w:rsidRPr="00AB1BA7">
        <w:rPr>
          <w:color w:val="000000"/>
        </w:rPr>
        <w:t xml:space="preserve">', </w:t>
      </w:r>
      <w:r w:rsidRPr="00AB1BA7">
        <w:rPr>
          <w:color w:val="000000"/>
          <w:lang w:val="en-AU" w:eastAsia="x-none"/>
        </w:rPr>
        <w:t xml:space="preserve">when multiple SRS resources are configured by </w:t>
      </w:r>
      <w:r w:rsidRPr="00AB1BA7">
        <w:rPr>
          <w:i/>
          <w:color w:val="000000"/>
          <w:lang w:val="en-AU" w:eastAsia="x-none"/>
        </w:rPr>
        <w:t>SRS-ResourceSet</w:t>
      </w:r>
      <w:r w:rsidRPr="00AB1BA7">
        <w:rPr>
          <w:color w:val="000000"/>
          <w:lang w:val="en-AU" w:eastAsia="x-none"/>
        </w:rPr>
        <w:t xml:space="preserve"> with </w:t>
      </w:r>
      <w:r w:rsidRPr="00AB1BA7">
        <w:rPr>
          <w:i/>
          <w:color w:val="000000"/>
          <w:lang w:val="en-AU" w:eastAsia="x-none"/>
        </w:rPr>
        <w:t>usage</w:t>
      </w:r>
      <w:r w:rsidRPr="00AB1BA7">
        <w:rPr>
          <w:color w:val="000000"/>
          <w:lang w:val="en-AU" w:eastAsia="x-none"/>
        </w:rPr>
        <w:t xml:space="preserve"> set to 'codebook', the UE shall expect that </w:t>
      </w:r>
      <w:r w:rsidRPr="001A0320">
        <w:rPr>
          <w:color w:val="FF0000"/>
          <w:lang w:val="en-AU" w:eastAsia="x-none"/>
        </w:rPr>
        <w:t>the number of SRS port(s)</w:t>
      </w:r>
      <w:r>
        <w:rPr>
          <w:color w:val="000000"/>
          <w:lang w:val="en-AU" w:eastAsia="x-none"/>
        </w:rPr>
        <w:t xml:space="preserve"> </w:t>
      </w:r>
      <w:r w:rsidRPr="00AB1BA7">
        <w:rPr>
          <w:strike/>
          <w:color w:val="FF0000"/>
          <w:lang w:val="en-AU" w:eastAsia="x-none"/>
        </w:rPr>
        <w:t xml:space="preserve">higher layer parameters </w:t>
      </w:r>
      <w:r w:rsidRPr="00AB1BA7">
        <w:rPr>
          <w:i/>
          <w:strike/>
          <w:color w:val="FF0000"/>
        </w:rPr>
        <w:t>nrofSRS-Ports</w:t>
      </w:r>
      <w:r w:rsidRPr="00AB1BA7">
        <w:t xml:space="preserve"> </w:t>
      </w:r>
      <w:r w:rsidRPr="00AB1BA7">
        <w:rPr>
          <w:color w:val="000000"/>
          <w:lang w:val="en-AU" w:eastAsia="x-none"/>
        </w:rPr>
        <w:t xml:space="preserve">in </w:t>
      </w:r>
      <w:r w:rsidRPr="00AB1BA7">
        <w:rPr>
          <w:i/>
          <w:color w:val="000000"/>
          <w:lang w:val="en-AU" w:eastAsia="x-none"/>
        </w:rPr>
        <w:t>SRS-Resource</w:t>
      </w:r>
      <w:r w:rsidRPr="00AB1BA7">
        <w:rPr>
          <w:color w:val="000000"/>
          <w:lang w:val="en-AU" w:eastAsia="x-none"/>
        </w:rPr>
        <w:t xml:space="preserve"> in </w:t>
      </w:r>
      <w:r w:rsidRPr="00AB1BA7">
        <w:rPr>
          <w:i/>
          <w:iCs/>
        </w:rPr>
        <w:t>SRS-ResourceSet</w:t>
      </w:r>
      <w:r w:rsidRPr="00AB1BA7">
        <w:rPr>
          <w:i/>
          <w:color w:val="000000"/>
          <w:lang w:val="en-AU" w:eastAsia="x-none"/>
        </w:rPr>
        <w:t xml:space="preserve"> </w:t>
      </w:r>
      <w:r w:rsidRPr="00AB1BA7">
        <w:rPr>
          <w:color w:val="000000"/>
          <w:lang w:val="en-AU" w:eastAsia="x-none"/>
        </w:rPr>
        <w:t xml:space="preserve">shall be </w:t>
      </w:r>
      <w:r w:rsidRPr="00AB1BA7">
        <w:rPr>
          <w:strike/>
          <w:color w:val="FF0000"/>
          <w:lang w:val="en-AU" w:eastAsia="x-none"/>
        </w:rPr>
        <w:t>configured with the</w:t>
      </w:r>
      <w:r w:rsidRPr="00AB1BA7">
        <w:rPr>
          <w:color w:val="000000"/>
          <w:lang w:val="en-AU" w:eastAsia="x-none"/>
        </w:rPr>
        <w:t xml:space="preserve"> same value for all these SRS resources.</w:t>
      </w:r>
    </w:p>
    <w:p w14:paraId="36752878" w14:textId="71D17EC6" w:rsidR="00F72D7B" w:rsidRDefault="007D34B0" w:rsidP="007D34B0">
      <w:pPr>
        <w:widowControl w:val="0"/>
        <w:jc w:val="center"/>
        <w:rPr>
          <w:color w:val="FF0000"/>
          <w:szCs w:val="22"/>
          <w:lang w:eastAsia="zh-TW"/>
        </w:rPr>
      </w:pPr>
      <w:r w:rsidRPr="00AB1BA7">
        <w:rPr>
          <w:rFonts w:hint="eastAsia"/>
          <w:color w:val="FF0000"/>
          <w:szCs w:val="22"/>
          <w:lang w:eastAsia="zh-TW"/>
        </w:rPr>
        <w:t>&lt;</w:t>
      </w:r>
      <w:r>
        <w:rPr>
          <w:rFonts w:hint="eastAsia"/>
          <w:color w:val="FF0000"/>
          <w:szCs w:val="22"/>
          <w:lang w:eastAsia="zh-TW"/>
        </w:rPr>
        <w:t>Unchanged parts are omitted</w:t>
      </w:r>
      <w:r w:rsidRPr="00AB1BA7">
        <w:rPr>
          <w:rFonts w:hint="eastAsia"/>
          <w:color w:val="FF0000"/>
          <w:szCs w:val="22"/>
          <w:lang w:eastAsia="zh-TW"/>
        </w:rPr>
        <w:t>&gt;</w:t>
      </w:r>
    </w:p>
    <w:bookmarkEnd w:id="11"/>
    <w:bookmarkEnd w:id="12"/>
    <w:bookmarkEnd w:id="13"/>
    <w:bookmarkEnd w:id="14"/>
    <w:bookmarkEnd w:id="15"/>
    <w:bookmarkEnd w:id="16"/>
    <w:bookmarkEnd w:id="17"/>
    <w:bookmarkEnd w:id="18"/>
    <w:bookmarkEnd w:id="19"/>
    <w:p w14:paraId="0D3595AB" w14:textId="77777777" w:rsidR="00F72D7B" w:rsidRDefault="00F72D7B" w:rsidP="00F72D7B">
      <w:pPr>
        <w:pStyle w:val="B3"/>
        <w:ind w:left="1134"/>
      </w:pPr>
    </w:p>
    <w:sectPr w:rsidR="00F72D7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5A283" w14:textId="77777777" w:rsidR="009C5909" w:rsidRDefault="009C5909">
      <w:r>
        <w:separator/>
      </w:r>
    </w:p>
    <w:p w14:paraId="0F685C1A" w14:textId="77777777" w:rsidR="009C5909" w:rsidRDefault="009C5909"/>
  </w:endnote>
  <w:endnote w:type="continuationSeparator" w:id="0">
    <w:p w14:paraId="2F5EA683" w14:textId="77777777" w:rsidR="009C5909" w:rsidRDefault="009C5909">
      <w:r>
        <w:continuationSeparator/>
      </w:r>
    </w:p>
    <w:p w14:paraId="5D26B8CB" w14:textId="77777777" w:rsidR="009C5909" w:rsidRDefault="009C5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D5FC1" w14:textId="77777777" w:rsidR="009C5909" w:rsidRDefault="009C5909">
      <w:r>
        <w:separator/>
      </w:r>
    </w:p>
    <w:p w14:paraId="0EEF60C8" w14:textId="77777777" w:rsidR="009C5909" w:rsidRDefault="009C5909"/>
  </w:footnote>
  <w:footnote w:type="continuationSeparator" w:id="0">
    <w:p w14:paraId="6617618D" w14:textId="77777777" w:rsidR="009C5909" w:rsidRDefault="009C5909">
      <w:r>
        <w:continuationSeparator/>
      </w:r>
    </w:p>
    <w:p w14:paraId="2A0652BD" w14:textId="77777777" w:rsidR="009C5909" w:rsidRDefault="009C59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6599BFD6"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4CC4">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5909"/>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4CC4"/>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537AC-858A-4FF3-AD07-82522919D3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2</Pages>
  <Words>448</Words>
  <Characters>2560</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43</cp:revision>
  <dcterms:created xsi:type="dcterms:W3CDTF">2023-08-06T07:15:00Z</dcterms:created>
  <dcterms:modified xsi:type="dcterms:W3CDTF">2024-05-08T12:13:00Z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